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习近平强军思想（强军目标）</w:t>
      </w:r>
    </w:p>
    <w:p>
      <w:pPr>
        <w:rPr>
          <w:rFonts w:hint="eastAsia"/>
          <w:lang w:val="en-US" w:eastAsia="zh-CN"/>
        </w:rPr>
      </w:pPr>
      <w:r>
        <w:rPr>
          <w:rFonts w:hint="default"/>
          <w:lang w:val="en-US" w:eastAsia="zh-CN"/>
        </w:rPr>
        <w:t>明确党在新时代的强军目标是建设一支</w:t>
      </w:r>
      <w:r>
        <w:rPr>
          <w:rFonts w:hint="default"/>
          <w:b/>
          <w:bCs/>
          <w:u w:val="wave"/>
          <w:lang w:val="en-US" w:eastAsia="zh-CN"/>
        </w:rPr>
        <w:t>听党指挥、能打胜仗、作风优良的人民军队</w:t>
      </w:r>
      <w:r>
        <w:rPr>
          <w:rFonts w:hint="default"/>
          <w:lang w:val="en-US" w:eastAsia="zh-CN"/>
        </w:rPr>
        <w:t>，必须同国家现代化进程相一致，力争到</w:t>
      </w:r>
      <w:r>
        <w:rPr>
          <w:rFonts w:hint="default"/>
          <w:b/>
          <w:bCs/>
          <w:u w:val="wave"/>
          <w:lang w:val="en-US" w:eastAsia="zh-CN"/>
        </w:rPr>
        <w:t>2035年</w:t>
      </w:r>
      <w:r>
        <w:rPr>
          <w:rFonts w:hint="default"/>
          <w:lang w:val="en-US" w:eastAsia="zh-CN"/>
        </w:rPr>
        <w:t>基本实现国防和军队现代化，到本世纪中叶把人民军队全面建成世界一流军队</w:t>
      </w:r>
      <w:r>
        <w:rPr>
          <w:rFonts w:hint="eastAsia"/>
          <w:lang w:val="en-US" w:eastAsia="zh-CN"/>
        </w:rPr>
        <w:t>。</w:t>
      </w:r>
    </w:p>
    <w:p>
      <w:pPr>
        <w:rPr>
          <w:rFonts w:hint="eastAsia"/>
          <w:lang w:val="en-US" w:eastAsia="zh-CN"/>
        </w:rPr>
      </w:pPr>
    </w:p>
    <w:p>
      <w:pPr>
        <w:rPr>
          <w:rFonts w:hint="eastAsia"/>
          <w:lang w:val="en-US" w:eastAsia="zh-CN"/>
        </w:rPr>
      </w:pPr>
      <w:r>
        <w:rPr>
          <w:rFonts w:hint="eastAsia"/>
          <w:lang w:val="en-US" w:eastAsia="zh-CN"/>
        </w:rPr>
        <w:t>全国国家安全教育日:每年4月15日</w:t>
      </w:r>
    </w:p>
    <w:p>
      <w:pPr>
        <w:rPr>
          <w:rFonts w:hint="eastAsia"/>
          <w:lang w:val="en-US" w:eastAsia="zh-CN"/>
        </w:rPr>
      </w:pPr>
    </w:p>
    <w:p>
      <w:pPr>
        <w:rPr>
          <w:rFonts w:hint="default"/>
          <w:lang w:val="en-US" w:eastAsia="zh-CN"/>
        </w:rPr>
      </w:pPr>
      <w:r>
        <w:rPr>
          <w:rFonts w:hint="default"/>
          <w:lang w:val="en-US" w:eastAsia="zh-CN"/>
        </w:rPr>
        <w:t>坚持总体国家安全观。统筹发展和安全，增强忧患意识，做到居安思危，是我们党治国理政的一个重大原则。</w:t>
      </w:r>
    </w:p>
    <w:p>
      <w:pPr>
        <w:ind w:firstLine="1050" w:firstLineChars="500"/>
        <w:rPr>
          <w:rFonts w:hint="default"/>
          <w:lang w:val="en-US" w:eastAsia="zh-CN"/>
        </w:rPr>
      </w:pPr>
      <w:r>
        <w:rPr>
          <w:rFonts w:hint="default"/>
          <w:lang w:val="en-US" w:eastAsia="zh-CN"/>
        </w:rPr>
        <w:t>——2017年10月18日，习近平在中国共产党第十九次全国代表大会上的报告</w:t>
      </w:r>
    </w:p>
    <w:p>
      <w:pPr>
        <w:ind w:firstLine="1050" w:firstLineChars="500"/>
        <w:rPr>
          <w:rFonts w:hint="default"/>
          <w:lang w:val="en-US" w:eastAsia="zh-CN"/>
        </w:rPr>
      </w:pPr>
    </w:p>
    <w:p>
      <w:pPr>
        <w:rPr>
          <w:rFonts w:hint="default"/>
          <w:lang w:val="en-US" w:eastAsia="zh-CN"/>
        </w:rPr>
      </w:pPr>
      <w:r>
        <w:rPr>
          <w:rFonts w:hint="default"/>
          <w:lang w:val="en-US" w:eastAsia="zh-CN"/>
        </w:rPr>
        <w:t>《习近平关于总体国家安全观论述摘编》</w:t>
      </w:r>
      <w:r>
        <w:rPr>
          <w:rFonts w:hint="eastAsia"/>
          <w:lang w:val="en-US" w:eastAsia="zh-CN"/>
        </w:rPr>
        <w:t xml:space="preserve"> </w:t>
      </w:r>
      <w:r>
        <w:rPr>
          <w:rFonts w:hint="default"/>
          <w:lang w:val="en-US" w:eastAsia="zh-CN"/>
        </w:rPr>
        <w:t>（2012.11.15—2018.3.20）</w:t>
      </w:r>
    </w:p>
    <w:p>
      <w:pPr>
        <w:rPr>
          <w:rFonts w:hint="default"/>
          <w:lang w:val="en-US" w:eastAsia="zh-CN"/>
        </w:rPr>
      </w:pPr>
      <w:r>
        <w:rPr>
          <w:rFonts w:hint="default" w:ascii="Arial" w:hAnsi="Arial" w:cs="Arial"/>
          <w:lang w:val="en-US" w:eastAsia="zh-CN"/>
        </w:rPr>
        <w:t>√</w:t>
      </w:r>
      <w:r>
        <w:rPr>
          <w:rFonts w:hint="eastAsia" w:ascii="Arial" w:hAnsi="Arial" w:cs="Arial"/>
          <w:lang w:val="en-US" w:eastAsia="zh-CN"/>
        </w:rPr>
        <w:t xml:space="preserve"> </w:t>
      </w:r>
      <w:r>
        <w:rPr>
          <w:rFonts w:hint="default"/>
          <w:lang w:val="en-US" w:eastAsia="zh-CN"/>
        </w:rPr>
        <w:t>坚持总体国家安全观</w:t>
      </w:r>
    </w:p>
    <w:p>
      <w:pPr>
        <w:rPr>
          <w:rFonts w:hint="default"/>
          <w:lang w:val="en-US" w:eastAsia="zh-CN"/>
        </w:rPr>
      </w:pPr>
      <w:r>
        <w:rPr>
          <w:rFonts w:hint="default" w:ascii="Arial" w:hAnsi="Arial" w:cs="Arial"/>
          <w:lang w:val="en-US" w:eastAsia="zh-CN"/>
        </w:rPr>
        <w:t>√</w:t>
      </w:r>
      <w:r>
        <w:rPr>
          <w:rFonts w:hint="eastAsia" w:ascii="Arial" w:hAnsi="Arial" w:cs="Arial"/>
          <w:lang w:val="en-US" w:eastAsia="zh-CN"/>
        </w:rPr>
        <w:t xml:space="preserve"> </w:t>
      </w:r>
      <w:r>
        <w:rPr>
          <w:rFonts w:hint="default"/>
          <w:lang w:val="en-US" w:eastAsia="zh-CN"/>
        </w:rPr>
        <w:t>维护重点领域国家安全</w:t>
      </w:r>
    </w:p>
    <w:p>
      <w:pPr>
        <w:rPr>
          <w:rFonts w:hint="default"/>
          <w:lang w:val="en-US" w:eastAsia="zh-CN"/>
        </w:rPr>
      </w:pPr>
      <w:r>
        <w:rPr>
          <w:rFonts w:hint="default" w:ascii="Arial" w:hAnsi="Arial" w:cs="Arial"/>
          <w:lang w:val="en-US" w:eastAsia="zh-CN"/>
        </w:rPr>
        <w:t>√</w:t>
      </w:r>
      <w:r>
        <w:rPr>
          <w:rFonts w:hint="eastAsia" w:ascii="Arial" w:hAnsi="Arial" w:cs="Arial"/>
          <w:lang w:val="en-US" w:eastAsia="zh-CN"/>
        </w:rPr>
        <w:t xml:space="preserve"> </w:t>
      </w:r>
      <w:r>
        <w:rPr>
          <w:rFonts w:hint="default"/>
          <w:lang w:val="en-US" w:eastAsia="zh-CN"/>
        </w:rPr>
        <w:t>实现共同、综合、合作、可持续安全</w:t>
      </w:r>
    </w:p>
    <w:p>
      <w:pPr>
        <w:rPr>
          <w:rFonts w:hint="default"/>
          <w:lang w:val="en-US" w:eastAsia="zh-CN"/>
        </w:rPr>
      </w:pPr>
      <w:r>
        <w:rPr>
          <w:rFonts w:hint="default" w:ascii="Arial" w:hAnsi="Arial" w:cs="Arial"/>
          <w:lang w:val="en-US" w:eastAsia="zh-CN"/>
        </w:rPr>
        <w:t>√</w:t>
      </w:r>
      <w:r>
        <w:rPr>
          <w:rFonts w:hint="eastAsia" w:ascii="Arial" w:hAnsi="Arial" w:cs="Arial"/>
          <w:lang w:val="en-US" w:eastAsia="zh-CN"/>
        </w:rPr>
        <w:t xml:space="preserve"> </w:t>
      </w:r>
      <w:r>
        <w:rPr>
          <w:rFonts w:hint="default"/>
          <w:lang w:val="en-US" w:eastAsia="zh-CN"/>
        </w:rPr>
        <w:t>走和平发展道路</w:t>
      </w:r>
    </w:p>
    <w:p>
      <w:pPr>
        <w:rPr>
          <w:rFonts w:hint="default"/>
          <w:lang w:val="en-US" w:eastAsia="zh-CN"/>
        </w:rPr>
      </w:pPr>
    </w:p>
    <w:p>
      <w:pPr>
        <w:rPr>
          <w:rFonts w:hint="default"/>
          <w:lang w:val="en-US" w:eastAsia="zh-CN"/>
        </w:rPr>
      </w:pPr>
      <w:r>
        <w:rPr>
          <w:rFonts w:hint="default"/>
          <w:lang w:val="en-US" w:eastAsia="zh-CN"/>
        </w:rPr>
        <w:t xml:space="preserve"> 全面贯彻落实总体国家安全观，必须坚持统筹</w:t>
      </w:r>
      <w:r>
        <w:rPr>
          <w:rFonts w:hint="default"/>
          <w:b/>
          <w:bCs/>
          <w:u w:val="wave"/>
          <w:lang w:val="en-US" w:eastAsia="zh-CN"/>
        </w:rPr>
        <w:t>发展和安全</w:t>
      </w:r>
      <w:r>
        <w:rPr>
          <w:rFonts w:hint="default"/>
          <w:lang w:val="en-US" w:eastAsia="zh-CN"/>
        </w:rPr>
        <w:t>两件大事，既要善于运用发展成果夯实国家安全的实力基础，又要善于塑造有利于经济社会发展的安全环境</w:t>
      </w:r>
      <w:r>
        <w:rPr>
          <w:rFonts w:hint="default"/>
          <w:b/>
          <w:bCs/>
          <w:u w:val="wave"/>
          <w:lang w:val="en-US" w:eastAsia="zh-CN"/>
        </w:rPr>
        <w:t>；坚持人民安全、政治安全、国家利益至上的有机统一，</w:t>
      </w:r>
      <w:r>
        <w:rPr>
          <w:rFonts w:hint="default"/>
          <w:lang w:val="en-US" w:eastAsia="zh-CN"/>
        </w:rPr>
        <w:t>人民安全是国家安全的宗旨，政治安全是国家安全的根本，国家利益至上是国家安全的准则，实现人民安居乐业、党的长期执政、国家长治久安；</w:t>
      </w:r>
      <w:r>
        <w:rPr>
          <w:rFonts w:hint="default"/>
          <w:b/>
          <w:bCs/>
          <w:u w:val="wave"/>
          <w:lang w:val="en-US" w:eastAsia="zh-CN"/>
        </w:rPr>
        <w:t>坚持立足于防，</w:t>
      </w:r>
      <w:r>
        <w:rPr>
          <w:rFonts w:hint="default"/>
          <w:lang w:val="en-US" w:eastAsia="zh-CN"/>
        </w:rPr>
        <w:t>又有效处置风险；</w:t>
      </w:r>
      <w:r>
        <w:rPr>
          <w:rFonts w:hint="default"/>
          <w:b/>
          <w:bCs/>
          <w:u w:val="wave"/>
          <w:lang w:val="en-US" w:eastAsia="zh-CN"/>
        </w:rPr>
        <w:t>坚持维护和塑造国家安全</w:t>
      </w:r>
      <w:r>
        <w:rPr>
          <w:rFonts w:hint="default"/>
          <w:lang w:val="en-US" w:eastAsia="zh-CN"/>
        </w:rPr>
        <w:t>，塑造是更高层次更具前瞻性的维护，要发挥负责任大国作用，同世界各国一道，推动构建人类命运共同体；</w:t>
      </w:r>
      <w:r>
        <w:rPr>
          <w:rFonts w:hint="default"/>
          <w:b/>
          <w:bCs/>
          <w:u w:val="wave"/>
          <w:lang w:val="en-US" w:eastAsia="zh-CN"/>
        </w:rPr>
        <w:t>坚持科学统筹，</w:t>
      </w:r>
      <w:r>
        <w:rPr>
          <w:rFonts w:hint="default"/>
          <w:lang w:val="en-US" w:eastAsia="zh-CN"/>
        </w:rPr>
        <w:t>始终把国家安全置于中国特色社会主义事业全局中来把握，充分调动各方面积极性，形成维护国家安全合力。</w:t>
      </w:r>
    </w:p>
    <w:p>
      <w:pPr>
        <w:rPr>
          <w:rFonts w:hint="default"/>
          <w:lang w:val="en-US" w:eastAsia="zh-CN"/>
        </w:rPr>
      </w:pPr>
    </w:p>
    <w:p>
      <w:pPr>
        <w:rPr>
          <w:rFonts w:hint="default"/>
          <w:lang w:val="en-US" w:eastAsia="zh-CN"/>
        </w:rPr>
      </w:pPr>
      <w:r>
        <w:rPr>
          <w:rFonts w:hint="default"/>
          <w:lang w:val="en-US" w:eastAsia="zh-CN"/>
        </w:rPr>
        <w:t xml:space="preserve"> </w:t>
      </w:r>
      <w:r>
        <w:rPr>
          <w:rFonts w:hint="eastAsia"/>
          <w:lang w:val="en-US" w:eastAsia="zh-CN"/>
        </w:rPr>
        <w:t xml:space="preserve">      </w:t>
      </w:r>
      <w:r>
        <w:rPr>
          <w:rFonts w:hint="default"/>
          <w:lang w:val="en-US" w:eastAsia="zh-CN"/>
        </w:rPr>
        <w:t>——2018年4月17日，习近平在十九届中央国家安全委员会第一次会议上的讲话</w:t>
      </w:r>
    </w:p>
    <w:p>
      <w:pPr>
        <w:rPr>
          <w:rFonts w:hint="default"/>
          <w:lang w:val="en-US" w:eastAsia="zh-CN"/>
        </w:rPr>
      </w:pPr>
    </w:p>
    <w:p>
      <w:pPr>
        <w:rPr>
          <w:rFonts w:ascii="Arial" w:hAnsi="Arial" w:eastAsia="宋体" w:cs="Arial"/>
          <w:b/>
          <w:bCs/>
          <w:i w:val="0"/>
          <w:iCs w:val="0"/>
          <w:caps w:val="0"/>
          <w:color w:val="222222"/>
          <w:spacing w:val="0"/>
          <w:sz w:val="27"/>
          <w:szCs w:val="27"/>
          <w:shd w:val="clear" w:fill="FFFFFF"/>
        </w:rPr>
      </w:pPr>
      <w:r>
        <w:rPr>
          <w:rFonts w:ascii="Arial" w:hAnsi="Arial" w:eastAsia="宋体" w:cs="Arial"/>
          <w:b/>
          <w:bCs/>
          <w:i w:val="0"/>
          <w:iCs w:val="0"/>
          <w:caps w:val="0"/>
          <w:color w:val="222222"/>
          <w:spacing w:val="0"/>
          <w:sz w:val="28"/>
          <w:szCs w:val="28"/>
          <w:shd w:val="clear" w:fill="FFFFFF"/>
        </w:rPr>
        <w:t>《新时代的中国国防》白皮书</w:t>
      </w:r>
      <w:r>
        <w:rPr>
          <w:rFonts w:hint="eastAsia" w:ascii="Arial" w:hAnsi="Arial" w:eastAsia="宋体" w:cs="Arial"/>
          <w:i w:val="0"/>
          <w:iCs w:val="0"/>
          <w:caps w:val="0"/>
          <w:color w:val="222222"/>
          <w:spacing w:val="0"/>
          <w:sz w:val="27"/>
          <w:szCs w:val="27"/>
          <w:shd w:val="clear" w:fill="FFFFFF"/>
          <w:lang w:val="en-US" w:eastAsia="zh-CN"/>
        </w:rPr>
        <w:t>(</w:t>
      </w:r>
      <w:r>
        <w:rPr>
          <w:rFonts w:hint="eastAsia" w:ascii="Arial" w:hAnsi="Arial" w:eastAsia="宋体" w:cs="Arial"/>
          <w:i w:val="0"/>
          <w:iCs w:val="0"/>
          <w:caps w:val="0"/>
          <w:color w:val="222222"/>
          <w:spacing w:val="0"/>
          <w:sz w:val="24"/>
          <w:szCs w:val="24"/>
          <w:shd w:val="clear" w:fill="FFFFFF"/>
          <w:lang w:val="en-US" w:eastAsia="zh-CN"/>
        </w:rPr>
        <w:t>2019年7月24日首次发布</w:t>
      </w:r>
      <w:r>
        <w:rPr>
          <w:rFonts w:hint="eastAsia" w:ascii="Arial" w:hAnsi="Arial" w:eastAsia="宋体" w:cs="Arial"/>
          <w:i w:val="0"/>
          <w:iCs w:val="0"/>
          <w:caps w:val="0"/>
          <w:color w:val="222222"/>
          <w:spacing w:val="0"/>
          <w:sz w:val="27"/>
          <w:szCs w:val="27"/>
          <w:shd w:val="clear" w:fill="FFFFFF"/>
          <w:lang w:val="en-US" w:eastAsia="zh-CN"/>
        </w:rPr>
        <w:t>）</w:t>
      </w:r>
      <w:r>
        <w:rPr>
          <w:rFonts w:ascii="Arial" w:hAnsi="Arial" w:eastAsia="宋体" w:cs="Arial"/>
          <w:i w:val="0"/>
          <w:iCs w:val="0"/>
          <w:caps w:val="0"/>
          <w:color w:val="222222"/>
          <w:spacing w:val="0"/>
          <w:sz w:val="27"/>
          <w:szCs w:val="27"/>
          <w:shd w:val="clear" w:fill="FFFFFF"/>
        </w:rPr>
        <w:t>正式明确</w:t>
      </w:r>
      <w:r>
        <w:rPr>
          <w:rFonts w:ascii="Arial" w:hAnsi="Arial" w:eastAsia="宋体" w:cs="Arial"/>
          <w:b/>
          <w:bCs/>
          <w:i w:val="0"/>
          <w:iCs w:val="0"/>
          <w:caps w:val="0"/>
          <w:color w:val="222222"/>
          <w:spacing w:val="0"/>
          <w:sz w:val="27"/>
          <w:szCs w:val="27"/>
          <w:shd w:val="clear" w:fill="FFFFFF"/>
        </w:rPr>
        <w:t>“四个战略支撑</w:t>
      </w:r>
    </w:p>
    <w:p>
      <w:pPr>
        <w:rPr>
          <w:rFonts w:hint="default" w:ascii="Arial" w:hAnsi="Arial" w:cs="Arial"/>
          <w:lang w:val="en-US" w:eastAsia="zh-CN"/>
        </w:rPr>
      </w:pPr>
      <w:r>
        <w:rPr>
          <w:rFonts w:hint="default" w:ascii="Arial" w:hAnsi="Arial" w:cs="Arial"/>
          <w:lang w:val="en-US" w:eastAsia="zh-CN"/>
        </w:rPr>
        <w:t>√为巩固中国共产党领导和社会主义制度提供战略支撑，</w:t>
      </w:r>
    </w:p>
    <w:p>
      <w:pPr>
        <w:rPr>
          <w:rFonts w:hint="default" w:ascii="Arial" w:hAnsi="Arial" w:cs="Arial"/>
          <w:lang w:val="en-US" w:eastAsia="zh-CN"/>
        </w:rPr>
      </w:pPr>
      <w:r>
        <w:rPr>
          <w:rFonts w:hint="default" w:ascii="Arial" w:hAnsi="Arial" w:cs="Arial"/>
          <w:lang w:val="en-US" w:eastAsia="zh-CN"/>
        </w:rPr>
        <w:t>√</w:t>
      </w:r>
      <w:r>
        <w:rPr>
          <w:rFonts w:hint="eastAsia" w:ascii="Arial" w:hAnsi="Arial" w:cs="Arial"/>
          <w:lang w:val="en-US" w:eastAsia="zh-CN"/>
        </w:rPr>
        <w:t xml:space="preserve"> </w:t>
      </w:r>
      <w:r>
        <w:rPr>
          <w:rFonts w:hint="default" w:ascii="Arial" w:hAnsi="Arial" w:cs="Arial"/>
          <w:lang w:val="en-US" w:eastAsia="zh-CN"/>
        </w:rPr>
        <w:t>为捍卫国家主权、统一、领土完整提供战略支撑，</w:t>
      </w:r>
    </w:p>
    <w:p>
      <w:pPr>
        <w:rPr>
          <w:rFonts w:hint="default" w:ascii="Arial" w:hAnsi="Arial" w:cs="Arial"/>
          <w:lang w:val="en-US" w:eastAsia="zh-CN"/>
        </w:rPr>
      </w:pPr>
      <w:r>
        <w:rPr>
          <w:rFonts w:hint="default" w:ascii="Arial" w:hAnsi="Arial" w:cs="Arial"/>
          <w:lang w:val="en-US" w:eastAsia="zh-CN"/>
        </w:rPr>
        <w:t>√</w:t>
      </w:r>
      <w:r>
        <w:rPr>
          <w:rFonts w:hint="eastAsia" w:ascii="Arial" w:hAnsi="Arial" w:cs="Arial"/>
          <w:lang w:val="en-US" w:eastAsia="zh-CN"/>
        </w:rPr>
        <w:t xml:space="preserve"> </w:t>
      </w:r>
      <w:r>
        <w:rPr>
          <w:rFonts w:hint="default" w:ascii="Arial" w:hAnsi="Arial" w:cs="Arial"/>
          <w:lang w:val="en-US" w:eastAsia="zh-CN"/>
        </w:rPr>
        <w:t>为维护国家海外利益提供战略支撑，</w:t>
      </w:r>
    </w:p>
    <w:p>
      <w:pPr>
        <w:rPr>
          <w:rFonts w:hint="default" w:ascii="Arial" w:hAnsi="Arial" w:cs="Arial"/>
          <w:lang w:val="en-US" w:eastAsia="zh-CN"/>
        </w:rPr>
      </w:pPr>
      <w:r>
        <w:rPr>
          <w:rFonts w:hint="default" w:ascii="Arial" w:hAnsi="Arial" w:cs="Arial"/>
          <w:lang w:val="en-US" w:eastAsia="zh-CN"/>
        </w:rPr>
        <w:t>√</w:t>
      </w:r>
      <w:r>
        <w:rPr>
          <w:rFonts w:hint="eastAsia" w:ascii="Arial" w:hAnsi="Arial" w:cs="Arial"/>
          <w:lang w:val="en-US" w:eastAsia="zh-CN"/>
        </w:rPr>
        <w:t xml:space="preserve"> </w:t>
      </w:r>
      <w:r>
        <w:rPr>
          <w:rFonts w:hint="default" w:ascii="Arial" w:hAnsi="Arial" w:cs="Arial"/>
          <w:lang w:val="en-US" w:eastAsia="zh-CN"/>
        </w:rPr>
        <w:t>为促进世界和平与发展提供战略支撑。</w:t>
      </w:r>
    </w:p>
    <w:p>
      <w:pPr>
        <w:rPr>
          <w:rFonts w:hint="default" w:ascii="Arial" w:hAnsi="Arial" w:cs="Arial"/>
          <w:lang w:val="en-US" w:eastAsia="zh-CN"/>
        </w:rPr>
      </w:pPr>
      <w:r>
        <w:rPr>
          <w:rFonts w:hint="default" w:ascii="Arial" w:hAnsi="Arial" w:cs="Arial"/>
          <w:lang w:val="en-US" w:eastAsia="zh-CN"/>
        </w:rPr>
        <w:br w:type="page"/>
      </w:r>
    </w:p>
    <w:p>
      <w:pPr>
        <w:rPr>
          <w:rFonts w:hint="default" w:ascii="Arial" w:hAnsi="Arial" w:cs="Arial"/>
          <w:lang w:val="en-US" w:eastAsia="zh-CN"/>
        </w:rPr>
      </w:pPr>
      <w:r>
        <w:rPr>
          <w:rFonts w:hint="default" w:ascii="Arial" w:hAnsi="Arial" w:cs="Arial"/>
          <w:lang w:val="en-US" w:eastAsia="zh-CN"/>
        </w:rPr>
        <w:t>《中华人民共和国国防法》2020年规定：“中华人民共和国的武装力量，由中国人民解放军、中国人民武装警察部队、民兵组成。</w:t>
      </w:r>
    </w:p>
    <w:p>
      <w:pPr>
        <w:rPr>
          <w:rFonts w:hint="default" w:ascii="Arial" w:hAnsi="Arial" w:cs="Arial"/>
          <w:lang w:val="en-US" w:eastAsia="zh-CN"/>
        </w:rPr>
      </w:pPr>
    </w:p>
    <w:p>
      <w:pPr>
        <w:rPr>
          <w:rFonts w:hint="default" w:ascii="Arial" w:hAnsi="Arial" w:cs="Arial"/>
          <w:lang w:val="en-US" w:eastAsia="zh-CN"/>
        </w:rPr>
      </w:pPr>
    </w:p>
    <w:p>
      <w:pPr>
        <w:rPr>
          <w:rFonts w:hint="default" w:ascii="Arial" w:hAnsi="Arial" w:cs="Arial"/>
          <w:lang w:val="en-US" w:eastAsia="zh-CN"/>
        </w:rPr>
      </w:pPr>
      <w:bookmarkStart w:id="0" w:name="_GoBack"/>
      <w:bookmarkEnd w:id="0"/>
    </w:p>
    <w:p>
      <w:pPr>
        <w:rPr>
          <w:rFonts w:hint="default" w:ascii="Arial" w:hAnsi="Arial" w:cs="Arial"/>
          <w:lang w:val="en-US" w:eastAsia="zh-CN"/>
        </w:rPr>
      </w:pPr>
    </w:p>
    <w:p>
      <w:r>
        <w:drawing>
          <wp:inline distT="0" distB="0" distL="114300" distR="114300">
            <wp:extent cx="5271135" cy="3077845"/>
            <wp:effectExtent l="0" t="0" r="571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1135" cy="3077845"/>
                    </a:xfrm>
                    <a:prstGeom prst="rect">
                      <a:avLst/>
                    </a:prstGeom>
                    <a:noFill/>
                    <a:ln>
                      <a:noFill/>
                    </a:ln>
                  </pic:spPr>
                </pic:pic>
              </a:graphicData>
            </a:graphic>
          </wp:inline>
        </w:drawing>
      </w:r>
    </w:p>
    <w:p/>
    <w:p>
      <w:pPr>
        <w:rPr>
          <w:rFonts w:hint="default"/>
          <w:lang w:val="en-US" w:eastAsia="zh-CN"/>
        </w:rPr>
      </w:pPr>
      <w:r>
        <w:rPr>
          <w:rFonts w:hint="default"/>
          <w:lang w:val="en-US" w:eastAsia="zh-CN"/>
        </w:rPr>
        <w:t>公民的国防义务和权利</w:t>
      </w:r>
    </w:p>
    <w:p>
      <w:pPr>
        <w:rPr>
          <w:rFonts w:hint="default"/>
          <w:lang w:val="en-US" w:eastAsia="zh-CN"/>
        </w:rPr>
      </w:pPr>
      <w:r>
        <w:rPr>
          <w:rFonts w:hint="default" w:ascii="Arial" w:hAnsi="Arial" w:cs="Arial"/>
          <w:lang w:val="en-US" w:eastAsia="zh-CN"/>
        </w:rPr>
        <w:t>√</w:t>
      </w:r>
      <w:r>
        <w:rPr>
          <w:rFonts w:hint="eastAsia" w:ascii="Arial" w:hAnsi="Arial" w:cs="Arial"/>
          <w:lang w:val="en-US" w:eastAsia="zh-CN"/>
        </w:rPr>
        <w:t xml:space="preserve"> </w:t>
      </w:r>
      <w:r>
        <w:rPr>
          <w:rFonts w:hint="default"/>
          <w:lang w:val="en-US" w:eastAsia="zh-CN"/>
        </w:rPr>
        <w:t>接受国防教育</w:t>
      </w:r>
    </w:p>
    <w:p>
      <w:pPr>
        <w:rPr>
          <w:rFonts w:hint="default"/>
          <w:lang w:val="en-US" w:eastAsia="zh-CN"/>
        </w:rPr>
      </w:pPr>
      <w:r>
        <w:rPr>
          <w:rFonts w:hint="default" w:ascii="Arial" w:hAnsi="Arial" w:cs="Arial"/>
          <w:lang w:val="en-US" w:eastAsia="zh-CN"/>
        </w:rPr>
        <w:t>√</w:t>
      </w:r>
      <w:r>
        <w:rPr>
          <w:rFonts w:hint="eastAsia" w:ascii="Arial" w:hAnsi="Arial" w:cs="Arial"/>
          <w:lang w:val="en-US" w:eastAsia="zh-CN"/>
        </w:rPr>
        <w:t xml:space="preserve"> </w:t>
      </w:r>
      <w:r>
        <w:rPr>
          <w:rFonts w:hint="default"/>
          <w:lang w:val="en-US" w:eastAsia="zh-CN"/>
        </w:rPr>
        <w:t>参加军事训练</w:t>
      </w:r>
    </w:p>
    <w:p>
      <w:pPr>
        <w:rPr>
          <w:rFonts w:hint="default"/>
          <w:lang w:val="en-US" w:eastAsia="zh-CN"/>
        </w:rPr>
      </w:pPr>
      <w:r>
        <w:rPr>
          <w:rFonts w:hint="default" w:ascii="Arial" w:hAnsi="Arial" w:cs="Arial"/>
          <w:lang w:val="en-US" w:eastAsia="zh-CN"/>
        </w:rPr>
        <w:t>√</w:t>
      </w:r>
      <w:r>
        <w:rPr>
          <w:rFonts w:hint="eastAsia" w:ascii="Arial" w:hAnsi="Arial" w:cs="Arial"/>
          <w:lang w:val="en-US" w:eastAsia="zh-CN"/>
        </w:rPr>
        <w:t xml:space="preserve"> </w:t>
      </w:r>
      <w:r>
        <w:rPr>
          <w:rFonts w:hint="default"/>
          <w:lang w:val="en-US" w:eastAsia="zh-CN"/>
        </w:rPr>
        <w:t>保守国防秘密</w:t>
      </w:r>
    </w:p>
    <w:p>
      <w:pPr>
        <w:rPr>
          <w:rFonts w:hint="default"/>
          <w:lang w:val="en-US" w:eastAsia="zh-CN"/>
        </w:rPr>
      </w:pPr>
      <w:r>
        <w:rPr>
          <w:rFonts w:hint="default" w:ascii="Arial" w:hAnsi="Arial" w:cs="Arial"/>
          <w:lang w:val="en-US" w:eastAsia="zh-CN"/>
        </w:rPr>
        <w:t>√</w:t>
      </w:r>
      <w:r>
        <w:rPr>
          <w:rFonts w:hint="eastAsia" w:ascii="Arial" w:hAnsi="Arial" w:cs="Arial"/>
          <w:lang w:val="en-US" w:eastAsia="zh-CN"/>
        </w:rPr>
        <w:t xml:space="preserve"> </w:t>
      </w:r>
      <w:r>
        <w:rPr>
          <w:rFonts w:hint="default"/>
          <w:lang w:val="en-US" w:eastAsia="zh-CN"/>
        </w:rPr>
        <w:t>提出国防建议</w:t>
      </w:r>
    </w:p>
    <w:p>
      <w:pPr>
        <w:rPr>
          <w:rFonts w:hint="default"/>
          <w:lang w:val="en-US" w:eastAsia="zh-CN"/>
        </w:rPr>
      </w:pPr>
      <w:r>
        <w:rPr>
          <w:rFonts w:hint="default" w:ascii="Arial" w:hAnsi="Arial" w:cs="Arial"/>
          <w:lang w:val="en-US" w:eastAsia="zh-CN"/>
        </w:rPr>
        <w:t>√</w:t>
      </w:r>
      <w:r>
        <w:rPr>
          <w:rFonts w:hint="eastAsia" w:ascii="Arial" w:hAnsi="Arial" w:cs="Arial"/>
          <w:lang w:val="en-US" w:eastAsia="zh-CN"/>
        </w:rPr>
        <w:t xml:space="preserve"> </w:t>
      </w:r>
      <w:r>
        <w:rPr>
          <w:rFonts w:hint="default"/>
          <w:lang w:val="en-US" w:eastAsia="zh-CN"/>
        </w:rPr>
        <w:t>依法服兵役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十八周岁至六十周岁的男性公民和十八周岁至五十五周岁的女性公民，应当担负国防勤务。</w:t>
      </w:r>
    </w:p>
    <w:p>
      <w:pPr>
        <w:rPr>
          <w:rFonts w:hint="default"/>
          <w:lang w:val="en-US" w:eastAsia="zh-CN"/>
        </w:rPr>
      </w:pPr>
    </w:p>
    <w:p>
      <w:pPr>
        <w:rPr>
          <w:rFonts w:hint="default"/>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Theme="minorEastAsia"/>
        <w:lang w:val="en-US" w:eastAsia="zh-CN"/>
      </w:rPr>
    </w:pPr>
    <w:r>
      <w:rPr>
        <w:rFonts w:hint="eastAsia"/>
        <w:lang w:val="en-US" w:eastAsia="zh-CN"/>
      </w:rPr>
      <w:t>国家安全和中国国防PPT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1MDkzOTIyODcxM2IxNDU4NDcyMGMxYjA3Y2ZkODgifQ=="/>
  </w:docVars>
  <w:rsids>
    <w:rsidRoot w:val="396F51A1"/>
    <w:rsid w:val="20176A6B"/>
    <w:rsid w:val="396F51A1"/>
    <w:rsid w:val="67E31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58</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2023-12-08T13:06:00Z</dcterms:created>
  <dc:creator>Maiqifish</dc:creator>
  <cp:lastModifiedBy>Maiqifish</cp:lastModifiedBy>
  <cp:lastPrinted>2023-12-13T10:21:11Z</cp:lastPrinted>
  <dcterms:modified xsi:type="dcterms:W3CDTF">2023-12-13T10:21:48Z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0AA1277082684DE8BE1840C1986ACAAD_11</vt:lpwstr>
  </property>
</Properties>
</file>